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000000" w:sz="24" w:space="8"/>
        </w:pBdr>
        <w:spacing w:after="60"/>
      </w:pPr>
      <w:r>
        <w:rPr>
          <w:rFonts w:ascii="Helvetica" w:cs="Helvetica" w:eastAsia="Helvetica" w:hAnsi="Helvetica"/>
          <w:b/>
          <w:bCs/>
          <w:color w:val="000000"/>
          <w:sz w:val="32"/>
          <w:szCs w:val="32"/>
        </w:rPr>
        <w:t xml:space="preserve">Zanubrutinib (Brukinsa®) – note au médecin traitant</w:t>
      </w:r>
    </w:p>
    <w:p>
      <w:pPr>
        <w:spacing w:after="220"/>
      </w:pPr>
      <w:r>
        <w:rPr>
          <w:rFonts w:ascii="Helvetica" w:cs="Helvetica" w:eastAsia="Helvetica" w:hAnsi="Helvetica"/>
          <w:color w:val="333333"/>
          <w:sz w:val="22"/>
          <w:szCs w:val="22"/>
        </w:rPr>
        <w:t xml:space="preserve">Leucémie lymphoïde chronique • effets indésirables et interactions médicamenteuses</w:t>
      </w:r>
    </w:p>
    <w:p>
      <w:pPr>
        <w:spacing w:after="120" w:line="276"/>
      </w:pP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Chère Consœur, Cher Confrère,</w:t>
      </w:r>
    </w:p>
    <w:p>
      <w:pPr>
        <w:spacing w:after="120" w:line="276"/>
      </w:pP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Votre patient(e) est traité(e) par </w:t>
      </w: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zanubrutinib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, inhibiteur de la tyrosine kinase de Bruton (BTKi) de 2</w:t>
      </w:r>
      <w:r>
        <w:rPr>
          <w:rFonts w:ascii="Helvetica" w:cs="Helvetica" w:eastAsia="Helvetica" w:hAnsi="Helvetica"/>
          <w:color w:val="000000"/>
          <w:sz w:val="22"/>
          <w:szCs w:val="22"/>
          <w:vertAlign w:val="superscript"/>
        </w:rPr>
        <w:t xml:space="preserve">e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génération, dans le cadre de sa leucémie lymphoïde chronique. La posologie usuelle est de </w:t>
      </w: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160 mg deux fois par jour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ou </w:t>
      </w: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320 mg une fois par jour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(gélules à 80 mg), en prise continue. Le médicament est métabolisé principalement par le </w:t>
      </w: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CYP3A4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, ce qui conditionne l’essentiel des interactions. Voici les éléments utiles à la prise en charge en ville.</w:t>
      </w:r>
    </w:p>
    <w:p>
      <w:pPr>
        <w:pStyle w:val="Heading2"/>
        <w:pBdr>
          <w:bottom w:val="single" w:color="000000" w:sz="6" w:space="4"/>
        </w:pBdr>
        <w:spacing w:after="120" w:before="240"/>
      </w:pPr>
      <w:r>
        <w:rPr>
          <w:rFonts w:ascii="Helvetica" w:cs="Helvetica" w:eastAsia="Helvetica" w:hAnsi="Helvetica"/>
          <w:b/>
          <w:bCs/>
          <w:color w:val="000000"/>
          <w:sz w:val="26"/>
          <w:szCs w:val="26"/>
        </w:rPr>
        <w:t xml:space="preserve">Effets indésirables à surveiller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Hématologiques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neutropénie (l’effet le plus fréquent, parfois sévère), thrombopénie, anémie : NFS régulière et vigilance vis-à-vis du risque infectieux.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Hémorragiques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ecchymoses, pétéchies, épistaxis fréquentes et le plus souvent bénignes ; saignements majeurs plus rares. Prudence lors de tout geste invasif et en cas d’association aux antithrombotiques.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Infectieux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infections des voies respiratoires, risque d’infections opportunistes ; réactivation possible d’une hépatite B (sérologies vérifiées avant l’initiation).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Cardiovasculaires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hypertension artérielle (à dépister et traiter) ; fibrillation/flutter auriculaire, d’incidence plus faible qu’avec l’ibrutinib mais à rechercher devant palpitations ou dyspnée.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Cutanés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rash ; sur-risque de cancers cutanés justifiant photoprotection et surveillance dermatologique.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Digestifs / généraux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diarrhée, arthralgies et myalgies, fatigue, toux. Syndrome de lyse tumorale rare, surtout en début de traitement en cas de forte masse tumorale.</w:t>
      </w:r>
    </w:p>
    <w:p>
      <w:pPr>
        <w:pStyle w:val="Heading2"/>
        <w:pBdr>
          <w:bottom w:val="single" w:color="000000" w:sz="6" w:space="4"/>
        </w:pBdr>
        <w:spacing w:after="120" w:before="240"/>
      </w:pPr>
      <w:r>
        <w:rPr>
          <w:rFonts w:ascii="Helvetica" w:cs="Helvetica" w:eastAsia="Helvetica" w:hAnsi="Helvetica"/>
          <w:b/>
          <w:bCs/>
          <w:color w:val="000000"/>
          <w:sz w:val="26"/>
          <w:szCs w:val="26"/>
        </w:rPr>
        <w:t xml:space="preserve">Interactions médicamenteuses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400"/>
        <w:gridCol w:w="2000"/>
        <w:gridCol w:w="2626"/>
      </w:tblGrid>
      <w:tr>
        <w:trPr>
          <w:tblHeader/>
        </w:trPr>
        <w:tc>
          <w:tcPr>
            <w:tcW w:type="dxa" w:w="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fill="00000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Helvetica" w:cs="Helvetica" w:eastAsia="Helvetica" w:hAnsi="Helvetica"/>
                <w:b/>
                <w:bCs/>
                <w:color w:val="FFFFFF"/>
                <w:sz w:val="20"/>
                <w:szCs w:val="20"/>
              </w:rPr>
              <w:t xml:space="preserve">Classe / situation</w:t>
            </w:r>
          </w:p>
        </w:tc>
        <w:tc>
          <w:tcPr>
            <w:tcW w:type="dxa" w:w="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fill="00000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Helvetica" w:cs="Helvetica" w:eastAsia="Helvetica" w:hAnsi="Helvetica"/>
                <w:b/>
                <w:bCs/>
                <w:color w:val="FFFFFF"/>
                <w:sz w:val="20"/>
                <w:szCs w:val="20"/>
              </w:rPr>
              <w:t xml:space="preserve">Exemples</w:t>
            </w:r>
          </w:p>
        </w:tc>
        <w:tc>
          <w:tcPr>
            <w:tcW w:type="dxa" w:w="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fill="00000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Helvetica" w:cs="Helvetica" w:eastAsia="Helvetica" w:hAnsi="Helvetica"/>
                <w:b/>
                <w:bCs/>
                <w:color w:val="FFFFFF"/>
                <w:sz w:val="20"/>
                <w:szCs w:val="20"/>
              </w:rPr>
              <w:t xml:space="preserve">Effet</w:t>
            </w:r>
          </w:p>
        </w:tc>
        <w:tc>
          <w:tcPr>
            <w:tcW w:type="dxa" w:w="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fill="00000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Helvetica" w:cs="Helvetica" w:eastAsia="Helvetica" w:hAnsi="Helvetica"/>
                <w:b/>
                <w:bCs/>
                <w:color w:val="FFFFFF"/>
                <w:sz w:val="20"/>
                <w:szCs w:val="20"/>
              </w:rPr>
              <w:t xml:space="preserve">Conduite à tenir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Inhibiteurs puissants du CYP3A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kétoconazole, itraconazole, voriconazole, posaconazole, clarithromycine, ritonavir/cobicistat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↑ concentrations → toxicité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RÉDUIRE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Zanubrutinib à </w:t>
            </w: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80 mg ×1/j</w:t>
            </w: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 pendant l’association ; reprise de la dose habituelle à l’arrêt.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Inhibiteurs modérés du CYP3A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fluconazole, érythromycine, diltiazem, vérapamil, dronédarone, ciprofloxacine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↑ concentrations (modérée)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RÉDUIRE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Zanubrutinib à </w:t>
            </w: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80 mg ×2/j</w:t>
            </w: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 pendant l’association.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Inducteurs puissants du CYP3A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rifampicine, carbamazépine, phénytoïne, phénobarbital, millepertuis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↓ concentrations → perte d’efficacité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À ÉVITER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Association déconseillée.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Inducteurs modérés du CYP3A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rifabutine, bosentan, éfavirenz, étravirine, modafinil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↓ concentrations → perte d’efficacité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À ÉVITER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Sinon surveillance clinique de l’efficacité.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Pamplemousse / orange amère (Séville)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jus et fruit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Inhibition alimentaire du CYP3A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À PROSCRIRE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Pendant toute la durée du traitement.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Antiagrégants / AINS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aspirine, clopidogrel, AINS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↑ risque hémorragique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SURVEILLANCE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Réévaluer l’indication ; prudence, surveillance clinique.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Anticoagulants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AVK, AOD (apixaban, rivaroxaban…), héparines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↑ risque hémorragique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SURVEILLANCE RENFORCÉE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Association possible ; me contacter pour arbitrage.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IPP / anti-H2 / anti-acides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oméprazole, ranitidine, pansements gastriques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Pas d’effet significatif sur l’absorption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AUCUNE ADAPTATION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Avantage vs certains autres BTKi.</w:t>
            </w:r>
          </w:p>
        </w:tc>
      </w:tr>
      <w:tr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20"/>
                <w:szCs w:val="20"/>
              </w:rPr>
              <w:t xml:space="preserve">Vaccins vivants atténués</w:t>
            </w:r>
          </w:p>
        </w:tc>
        <w:tc>
          <w:tcPr>
            <w:tcW w:type="dxa" w:w="24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fièvre jaune, ROR, varicelle, BCG</w:t>
            </w:r>
          </w:p>
        </w:tc>
        <w:tc>
          <w:tcPr>
            <w:tcW w:type="dxa" w:w="20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Risque infectieux chez l’immunodéprimé</w:t>
            </w:r>
          </w:p>
        </w:tc>
        <w:tc>
          <w:tcPr>
            <w:tcW w:type="dxa" w:w="26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Helvetica" w:cs="Helvetica" w:eastAsia="Helvetica" w:hAnsi="Helvetica"/>
                <w:b/>
                <w:bCs/>
                <w:color w:val="000000"/>
                <w:sz w:val="18"/>
                <w:szCs w:val="18"/>
              </w:rPr>
              <w:t xml:space="preserve">CONTRE-INDIQUÉS</w:t>
            </w:r>
          </w:p>
          <w:p>
            <w:pPr>
              <w:spacing w:after="0" w:line="264"/>
            </w:pPr>
            <w:r>
              <w:rPr>
                <w:rFonts w:ascii="Helvetica" w:cs="Helvetica" w:eastAsia="Helvetica" w:hAnsi="Helvetica"/>
                <w:color w:val="000000"/>
                <w:sz w:val="20"/>
                <w:szCs w:val="20"/>
              </w:rPr>
              <w:t xml:space="preserve">Privilégier les vaccins inactivés (grippe, pneumocoque, zona recombinant Shingrix®).</w:t>
            </w:r>
          </w:p>
        </w:tc>
      </w:tr>
    </w:tbl>
    <w:p>
      <w:pPr>
        <w:pStyle w:val="Heading2"/>
        <w:spacing w:after="120" w:before="260"/>
      </w:pPr>
      <w:r>
        <w:rPr>
          <w:rFonts w:ascii="Helvetica" w:cs="Helvetica" w:eastAsia="Helvetica" w:hAnsi="Helvetica"/>
          <w:b/>
          <w:bCs/>
          <w:color w:val="000000"/>
          <w:sz w:val="26"/>
          <w:szCs w:val="26"/>
        </w:rPr>
        <w:t xml:space="preserve">Points pratiques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Ne pas interrompre le traitement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sans avis hématologique. En cas de doute sur une co-prescription, un simple appel permet d’arbitrer.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Gestes invasifs / chirurgie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suspension du zanubrutinib recommandée quelques jours avant et après (3 à 7 jours selon le risque hémorragique du geste), à coordonner avec nous.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Bilan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NFS et surveillance tensionnelle régulières ; consultation dermatologique de suivi.</w:t>
      </w:r>
    </w:p>
    <w:p>
      <w:pPr>
        <w:spacing w:after="120" w:before="220"/>
      </w:pP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Je reste à votre disposition pour toute question et vous prie d’agréer, Chère Consœur, Cher Confrère, l’expression de mes salutations confraternelles.</w:t>
      </w:r>
    </w:p>
    <w:p>
      <w:pPr>
        <w:spacing w:after="120" w:line="276"/>
      </w:pPr>
      <w:r>
        <w:rPr>
          <w:rFonts w:ascii="Helvetica" w:cs="Helvetica" w:eastAsia="Helvetica" w:hAnsi="Helvetica"/>
          <w:b/>
          <w:bCs/>
          <w:color w:val="000000"/>
          <w:sz w:val="22"/>
          <w:szCs w:val="22"/>
        </w:rPr>
        <w:t xml:space="preserve">Dr B. Bareau</w:t>
      </w:r>
      <w:r>
        <w:rPr>
          <w:rFonts w:ascii="Helvetica" w:cs="Helvetica" w:eastAsia="Helvetica" w:hAnsi="Helvetica"/>
          <w:color w:val="000000"/>
          <w:sz w:val="22"/>
          <w:szCs w:val="22"/>
        </w:rPr>
        <w:t xml:space="preserve"> — Cabinet d’Hématologie, Hôpital Privé Sévigné</w:t>
      </w:r>
    </w:p>
    <w:p>
      <w:pPr>
        <w:pBdr>
          <w:top w:val="single" w:color="000000" w:sz="6" w:space="6"/>
        </w:pBdr>
        <w:spacing w:before="200"/>
      </w:pPr>
      <w:r>
        <w:rPr>
          <w:rFonts w:ascii="Helvetica" w:cs="Helvetica" w:eastAsia="Helvetica" w:hAnsi="Helvetica"/>
          <w:i/>
          <w:iCs/>
          <w:color w:val="333333"/>
          <w:sz w:val="19"/>
          <w:szCs w:val="19"/>
        </w:rPr>
        <w:t xml:space="preserve">Les adaptations posologiques et la liste des inhibiteurs/inducteurs suivent le RCP de Brukinsa® ; à valider selon la dernière version en vigueur.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2026-08-20T08:29:54.725Z</dcterms:created>
  <dcterms:modified xsi:type="dcterms:W3CDTF">2026-08-20T08:29:54.737Z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